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79C" w:rsidRPr="002C0164" w:rsidRDefault="0011479C" w:rsidP="001147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2C01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Професійний розвиток педагогів</w:t>
      </w:r>
    </w:p>
    <w:p w:rsidR="0011479C" w:rsidRPr="002C0164" w:rsidRDefault="0011479C" w:rsidP="0011479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666666"/>
          <w:sz w:val="28"/>
          <w:szCs w:val="28"/>
          <w:lang w:val="uk-UA"/>
        </w:rPr>
      </w:pPr>
      <w:r w:rsidRPr="002C0164">
        <w:rPr>
          <w:rFonts w:ascii="Times New Roman" w:eastAsia="Times New Roman" w:hAnsi="Times New Roman" w:cs="Times New Roman"/>
          <w:caps/>
          <w:color w:val="073763"/>
          <w:sz w:val="28"/>
          <w:szCs w:val="28"/>
          <w:lang w:val="uk-UA"/>
        </w:rPr>
        <w:t>ПІДВИЩЕННЯ КВАЛІФІКАЦІЇ ПЕДАГОГІВ: У МОН ПОЯСНИЛИ, ЯКІ КУРСИ "ЗАРАХУЮТЬ", А ЯКІ НІ</w:t>
      </w:r>
    </w:p>
    <w:p w:rsidR="0011479C" w:rsidRPr="002C0164" w:rsidRDefault="0011479C" w:rsidP="0011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  <w:lang w:val="uk-UA"/>
        </w:rPr>
        <w:t xml:space="preserve">Питання підвищення кваліфікації турбує багатьох педагогів, і це не дивно: із початком впровадження освітньої реформи змінюються підходи та принципи.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Чимало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вчителів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пригадують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торішній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бум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із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курсами </w:t>
      </w:r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на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платформі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«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EdEra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».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Наплив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був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такий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шалений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що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система «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виснула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»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від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охочих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зареєструватися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далі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усі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педагоги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початкових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шкіл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дружно </w:t>
      </w:r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проходили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матеріали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а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деякі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навіть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допомагали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іншим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а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далі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 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виявилося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що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організація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не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є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суб’єктом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освітньої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діяльності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.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Далі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розповість</w:t>
      </w:r>
      <w:proofErr w:type="spellEnd"/>
      <w:r w:rsidR="00831C26"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fldChar w:fldCharType="begin"/>
      </w:r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instrText xml:space="preserve"> HYPERLINK "https://kyivone.com/" </w:instrText>
      </w:r>
      <w:r w:rsidR="00831C26"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fldChar w:fldCharType="separate"/>
      </w:r>
      <w:r w:rsidRPr="0011479C">
        <w:rPr>
          <w:rFonts w:ascii="Times New Roman" w:eastAsia="Times New Roman" w:hAnsi="Times New Roman" w:cs="Times New Roman"/>
          <w:color w:val="F5BC04"/>
          <w:sz w:val="28"/>
          <w:szCs w:val="28"/>
          <w:u w:val="single"/>
        </w:rPr>
        <w:t> </w:t>
      </w:r>
      <w:proofErr w:type="spellStart"/>
      <w:r w:rsidRPr="0011479C">
        <w:rPr>
          <w:rFonts w:ascii="Times New Roman" w:eastAsia="Times New Roman" w:hAnsi="Times New Roman" w:cs="Times New Roman"/>
          <w:color w:val="F5BC04"/>
          <w:sz w:val="28"/>
          <w:szCs w:val="28"/>
          <w:u w:val="single"/>
        </w:rPr>
        <w:t>kyivone</w:t>
      </w:r>
      <w:proofErr w:type="spellEnd"/>
      <w:r w:rsidR="00831C26"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fldChar w:fldCharType="end"/>
      </w:r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.</w:t>
      </w:r>
    </w:p>
    <w:p w:rsidR="0011479C" w:rsidRPr="002C0164" w:rsidRDefault="0011479C" w:rsidP="0011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Зараз про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каже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вже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нове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керівництво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МОН.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Безперечно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ідвищувати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кваліфікацію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потрібно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проте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виникають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логічні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запитання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.</w:t>
      </w:r>
    </w:p>
    <w:p w:rsidR="0011479C" w:rsidRPr="002C0164" w:rsidRDefault="0011479C" w:rsidP="0011479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Хто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вважається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суб’єктом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?</w:t>
      </w:r>
    </w:p>
    <w:p w:rsidR="0011479C" w:rsidRPr="002C0164" w:rsidRDefault="0011479C" w:rsidP="0011479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Які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до них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висуваються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вимоги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що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дають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змогу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перебувати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у законному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руслі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(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ліцензії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дозволи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т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.ін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)?</w:t>
      </w:r>
    </w:p>
    <w:p w:rsidR="0011479C" w:rsidRPr="002C0164" w:rsidRDefault="0011479C" w:rsidP="0011479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Чи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можна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звертатися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до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будь-кого</w:t>
      </w:r>
      <w:proofErr w:type="spellEnd"/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із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них? Як педагогу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дізнатися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що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пройшовши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ті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чи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інш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курси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вони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йому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«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зарахуються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»?</w:t>
      </w:r>
    </w:p>
    <w:p w:rsidR="0011479C" w:rsidRPr="0011479C" w:rsidRDefault="0011479C" w:rsidP="0011479C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Як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щодо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результатів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?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Чи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вимагають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вони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особливої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процедури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затвердження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?</w:t>
      </w:r>
    </w:p>
    <w:p w:rsidR="0011479C" w:rsidRPr="00410FE5" w:rsidRDefault="0011479C" w:rsidP="0011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92B2C"/>
          <w:sz w:val="28"/>
          <w:szCs w:val="28"/>
          <w:u w:val="single"/>
        </w:rPr>
      </w:pPr>
      <w:r w:rsidRPr="00410FE5">
        <w:rPr>
          <w:rFonts w:ascii="Times New Roman" w:eastAsia="Times New Roman" w:hAnsi="Times New Roman" w:cs="Times New Roman"/>
          <w:b/>
          <w:i/>
          <w:color w:val="292B2C"/>
          <w:sz w:val="28"/>
          <w:szCs w:val="28"/>
          <w:u w:val="single"/>
          <w:lang w:val="uk-UA"/>
        </w:rPr>
        <w:t xml:space="preserve">Детальні </w:t>
      </w:r>
      <w:proofErr w:type="spellStart"/>
      <w:r w:rsidRPr="00410FE5">
        <w:rPr>
          <w:rFonts w:ascii="Times New Roman" w:eastAsia="Times New Roman" w:hAnsi="Times New Roman" w:cs="Times New Roman"/>
          <w:b/>
          <w:i/>
          <w:color w:val="292B2C"/>
          <w:sz w:val="28"/>
          <w:szCs w:val="28"/>
          <w:u w:val="single"/>
        </w:rPr>
        <w:t>роз’яснення</w:t>
      </w:r>
      <w:proofErr w:type="spellEnd"/>
      <w:r w:rsidRPr="00410FE5">
        <w:rPr>
          <w:rFonts w:ascii="Times New Roman" w:eastAsia="Times New Roman" w:hAnsi="Times New Roman" w:cs="Times New Roman"/>
          <w:b/>
          <w:i/>
          <w:color w:val="292B2C"/>
          <w:sz w:val="28"/>
          <w:szCs w:val="28"/>
          <w:u w:val="single"/>
          <w:lang w:val="uk-UA"/>
        </w:rPr>
        <w:t xml:space="preserve"> </w:t>
      </w:r>
      <w:proofErr w:type="spellStart"/>
      <w:r w:rsidRPr="00410FE5">
        <w:rPr>
          <w:rFonts w:ascii="Times New Roman" w:eastAsia="Times New Roman" w:hAnsi="Times New Roman" w:cs="Times New Roman"/>
          <w:b/>
          <w:i/>
          <w:color w:val="292B2C"/>
          <w:sz w:val="28"/>
          <w:szCs w:val="28"/>
          <w:u w:val="single"/>
        </w:rPr>
        <w:t>Любомир</w:t>
      </w:r>
      <w:proofErr w:type="spellEnd"/>
      <w:r w:rsidRPr="00410FE5">
        <w:rPr>
          <w:rFonts w:ascii="Times New Roman" w:eastAsia="Times New Roman" w:hAnsi="Times New Roman" w:cs="Times New Roman"/>
          <w:b/>
          <w:i/>
          <w:color w:val="292B2C"/>
          <w:sz w:val="28"/>
          <w:szCs w:val="28"/>
          <w:u w:val="single"/>
          <w:lang w:val="uk-UA"/>
        </w:rPr>
        <w:t>и</w:t>
      </w:r>
      <w:r w:rsidRPr="00410FE5">
        <w:rPr>
          <w:rFonts w:ascii="Times New Roman" w:eastAsia="Times New Roman" w:hAnsi="Times New Roman" w:cs="Times New Roman"/>
          <w:b/>
          <w:i/>
          <w:color w:val="292B2C"/>
          <w:sz w:val="28"/>
          <w:szCs w:val="28"/>
          <w:u w:val="single"/>
        </w:rPr>
        <w:t xml:space="preserve"> </w:t>
      </w:r>
      <w:proofErr w:type="spellStart"/>
      <w:r w:rsidRPr="00410FE5">
        <w:rPr>
          <w:rFonts w:ascii="Times New Roman" w:eastAsia="Times New Roman" w:hAnsi="Times New Roman" w:cs="Times New Roman"/>
          <w:b/>
          <w:i/>
          <w:color w:val="292B2C"/>
          <w:sz w:val="28"/>
          <w:szCs w:val="28"/>
          <w:u w:val="single"/>
        </w:rPr>
        <w:t>Мандзій</w:t>
      </w:r>
      <w:proofErr w:type="spellEnd"/>
      <w:r w:rsidRPr="00410FE5">
        <w:rPr>
          <w:rFonts w:ascii="Times New Roman" w:eastAsia="Times New Roman" w:hAnsi="Times New Roman" w:cs="Times New Roman"/>
          <w:b/>
          <w:i/>
          <w:color w:val="292B2C"/>
          <w:sz w:val="28"/>
          <w:szCs w:val="28"/>
          <w:u w:val="single"/>
        </w:rPr>
        <w:t xml:space="preserve"> – заступник</w:t>
      </w:r>
      <w:r w:rsidRPr="00410FE5">
        <w:rPr>
          <w:rFonts w:ascii="Times New Roman" w:eastAsia="Times New Roman" w:hAnsi="Times New Roman" w:cs="Times New Roman"/>
          <w:b/>
          <w:i/>
          <w:color w:val="292B2C"/>
          <w:sz w:val="28"/>
          <w:szCs w:val="28"/>
          <w:u w:val="single"/>
          <w:lang w:val="uk-UA"/>
        </w:rPr>
        <w:t>а</w:t>
      </w:r>
      <w:r w:rsidRPr="00410FE5">
        <w:rPr>
          <w:rFonts w:ascii="Times New Roman" w:eastAsia="Times New Roman" w:hAnsi="Times New Roman" w:cs="Times New Roman"/>
          <w:b/>
          <w:i/>
          <w:color w:val="292B2C"/>
          <w:sz w:val="28"/>
          <w:szCs w:val="28"/>
          <w:u w:val="single"/>
        </w:rPr>
        <w:t xml:space="preserve"> </w:t>
      </w:r>
      <w:proofErr w:type="spellStart"/>
      <w:r w:rsidRPr="00410FE5">
        <w:rPr>
          <w:rFonts w:ascii="Times New Roman" w:eastAsia="Times New Roman" w:hAnsi="Times New Roman" w:cs="Times New Roman"/>
          <w:b/>
          <w:i/>
          <w:color w:val="292B2C"/>
          <w:sz w:val="28"/>
          <w:szCs w:val="28"/>
          <w:u w:val="single"/>
        </w:rPr>
        <w:t>Міністра</w:t>
      </w:r>
      <w:proofErr w:type="spellEnd"/>
      <w:r w:rsidRPr="00410FE5">
        <w:rPr>
          <w:rFonts w:ascii="Times New Roman" w:eastAsia="Times New Roman" w:hAnsi="Times New Roman" w:cs="Times New Roman"/>
          <w:b/>
          <w:i/>
          <w:color w:val="292B2C"/>
          <w:sz w:val="28"/>
          <w:szCs w:val="28"/>
          <w:u w:val="single"/>
        </w:rPr>
        <w:t xml:space="preserve"> </w:t>
      </w:r>
      <w:proofErr w:type="spellStart"/>
      <w:r w:rsidRPr="00410FE5">
        <w:rPr>
          <w:rFonts w:ascii="Times New Roman" w:eastAsia="Times New Roman" w:hAnsi="Times New Roman" w:cs="Times New Roman"/>
          <w:b/>
          <w:i/>
          <w:color w:val="292B2C"/>
          <w:sz w:val="28"/>
          <w:szCs w:val="28"/>
          <w:u w:val="single"/>
        </w:rPr>
        <w:t>освіти</w:t>
      </w:r>
      <w:proofErr w:type="spellEnd"/>
      <w:r w:rsidRPr="00410FE5">
        <w:rPr>
          <w:rFonts w:ascii="Times New Roman" w:eastAsia="Times New Roman" w:hAnsi="Times New Roman" w:cs="Times New Roman"/>
          <w:b/>
          <w:i/>
          <w:color w:val="292B2C"/>
          <w:sz w:val="28"/>
          <w:szCs w:val="28"/>
          <w:u w:val="single"/>
        </w:rPr>
        <w:t xml:space="preserve"> </w:t>
      </w:r>
      <w:proofErr w:type="spellStart"/>
      <w:r w:rsidRPr="00410FE5">
        <w:rPr>
          <w:rFonts w:ascii="Times New Roman" w:eastAsia="Times New Roman" w:hAnsi="Times New Roman" w:cs="Times New Roman"/>
          <w:b/>
          <w:i/>
          <w:color w:val="292B2C"/>
          <w:sz w:val="28"/>
          <w:szCs w:val="28"/>
          <w:u w:val="single"/>
        </w:rPr>
        <w:t>і</w:t>
      </w:r>
      <w:proofErr w:type="spellEnd"/>
      <w:r w:rsidRPr="00410FE5">
        <w:rPr>
          <w:rFonts w:ascii="Times New Roman" w:eastAsia="Times New Roman" w:hAnsi="Times New Roman" w:cs="Times New Roman"/>
          <w:b/>
          <w:i/>
          <w:color w:val="292B2C"/>
          <w:sz w:val="28"/>
          <w:szCs w:val="28"/>
          <w:u w:val="single"/>
        </w:rPr>
        <w:t xml:space="preserve"> науки </w:t>
      </w:r>
      <w:proofErr w:type="spellStart"/>
      <w:r w:rsidRPr="00410FE5">
        <w:rPr>
          <w:rFonts w:ascii="Times New Roman" w:eastAsia="Times New Roman" w:hAnsi="Times New Roman" w:cs="Times New Roman"/>
          <w:b/>
          <w:i/>
          <w:color w:val="292B2C"/>
          <w:sz w:val="28"/>
          <w:szCs w:val="28"/>
          <w:u w:val="single"/>
        </w:rPr>
        <w:t>України</w:t>
      </w:r>
      <w:proofErr w:type="spellEnd"/>
      <w:r w:rsidRPr="00410FE5">
        <w:rPr>
          <w:rFonts w:ascii="Times New Roman" w:eastAsia="Times New Roman" w:hAnsi="Times New Roman" w:cs="Times New Roman"/>
          <w:b/>
          <w:i/>
          <w:color w:val="292B2C"/>
          <w:sz w:val="28"/>
          <w:szCs w:val="28"/>
          <w:u w:val="single"/>
        </w:rPr>
        <w:t>.</w:t>
      </w:r>
    </w:p>
    <w:p w:rsidR="0011479C" w:rsidRPr="002C0164" w:rsidRDefault="0011479C" w:rsidP="0011479C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</w:rPr>
      </w:pPr>
    </w:p>
    <w:p w:rsidR="0011479C" w:rsidRPr="002C0164" w:rsidRDefault="0011479C" w:rsidP="0011479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Види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ідвищення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кваліфікації</w:t>
      </w:r>
      <w:proofErr w:type="spellEnd"/>
    </w:p>
    <w:p w:rsidR="0011479C" w:rsidRPr="002C0164" w:rsidRDefault="0011479C" w:rsidP="0011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1.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Навчання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за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програмою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у тому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числі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участь у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семінарах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практикумах,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тренінгах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вебінарах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майстер-класах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тощо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.</w:t>
      </w:r>
    </w:p>
    <w:p w:rsidR="0011479C" w:rsidRPr="002C0164" w:rsidRDefault="0011479C" w:rsidP="0011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2.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Стажування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.</w:t>
      </w:r>
    </w:p>
    <w:p w:rsidR="0011479C" w:rsidRPr="002C0164" w:rsidRDefault="0011479C" w:rsidP="0011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Також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можуть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бути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визнані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як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:</w:t>
      </w:r>
    </w:p>
    <w:p w:rsidR="0011479C" w:rsidRPr="002C0164" w:rsidRDefault="0011479C" w:rsidP="0011479C">
      <w:pPr>
        <w:numPr>
          <w:ilvl w:val="0"/>
          <w:numId w:val="2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участь у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програмах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академічної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мобільності</w:t>
      </w:r>
      <w:proofErr w:type="spellEnd"/>
    </w:p>
    <w:p w:rsidR="0011479C" w:rsidRPr="002C0164" w:rsidRDefault="0011479C" w:rsidP="0011479C">
      <w:pPr>
        <w:numPr>
          <w:ilvl w:val="0"/>
          <w:numId w:val="2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наукове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стажування</w:t>
      </w:r>
      <w:proofErr w:type="spellEnd"/>
    </w:p>
    <w:p w:rsidR="0011479C" w:rsidRPr="002C0164" w:rsidRDefault="0011479C" w:rsidP="0011479C">
      <w:pPr>
        <w:numPr>
          <w:ilvl w:val="0"/>
          <w:numId w:val="2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самоосвіта</w:t>
      </w:r>
      <w:proofErr w:type="spellEnd"/>
    </w:p>
    <w:p w:rsidR="0011479C" w:rsidRPr="002C0164" w:rsidRDefault="0011479C" w:rsidP="0011479C">
      <w:pPr>
        <w:numPr>
          <w:ilvl w:val="0"/>
          <w:numId w:val="2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здобуття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наукового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ступеня</w:t>
      </w:r>
      <w:proofErr w:type="spellEnd"/>
    </w:p>
    <w:p w:rsidR="0011479C" w:rsidRPr="002C0164" w:rsidRDefault="0011479C" w:rsidP="0011479C">
      <w:pPr>
        <w:numPr>
          <w:ilvl w:val="0"/>
          <w:numId w:val="2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здобуття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вищої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освіти</w:t>
      </w:r>
      <w:proofErr w:type="spellEnd"/>
    </w:p>
    <w:p w:rsidR="0011479C" w:rsidRPr="002C0164" w:rsidRDefault="0011479C" w:rsidP="0011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Проте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такі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види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мають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особливості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які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прописані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у п. 26-30 Порядку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педагогічних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науково-педагогічних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працівників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.</w:t>
      </w:r>
    </w:p>
    <w:p w:rsidR="0011479C" w:rsidRPr="002C0164" w:rsidRDefault="0011479C" w:rsidP="0011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Варто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зазначити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що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вчитель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самостійно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обирає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форми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види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напрями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та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суб’єктів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.</w:t>
      </w:r>
    </w:p>
    <w:p w:rsidR="0011479C" w:rsidRPr="002C0164" w:rsidRDefault="0011479C" w:rsidP="0011479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Хто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може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ідвищувати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кваліфікацію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педагога?</w:t>
      </w:r>
    </w:p>
    <w:p w:rsidR="0011479C" w:rsidRPr="002C0164" w:rsidRDefault="0011479C" w:rsidP="0011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lastRenderedPageBreak/>
        <w:t>Суб’єкти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:</w:t>
      </w:r>
    </w:p>
    <w:p w:rsidR="0011479C" w:rsidRPr="002C0164" w:rsidRDefault="0011479C" w:rsidP="0011479C">
      <w:pPr>
        <w:numPr>
          <w:ilvl w:val="0"/>
          <w:numId w:val="3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заклад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освіти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або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його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структурний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ідрозділ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;</w:t>
      </w:r>
    </w:p>
    <w:p w:rsidR="0011479C" w:rsidRPr="002C0164" w:rsidRDefault="0011479C" w:rsidP="0011479C">
      <w:pPr>
        <w:numPr>
          <w:ilvl w:val="0"/>
          <w:numId w:val="3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наукова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установа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;</w:t>
      </w:r>
    </w:p>
    <w:p w:rsidR="0011479C" w:rsidRPr="002C0164" w:rsidRDefault="0011479C" w:rsidP="0011479C">
      <w:pPr>
        <w:numPr>
          <w:ilvl w:val="0"/>
          <w:numId w:val="3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юридична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особа;</w:t>
      </w:r>
    </w:p>
    <w:p w:rsidR="0011479C" w:rsidRPr="002C0164" w:rsidRDefault="0011479C" w:rsidP="0011479C">
      <w:pPr>
        <w:numPr>
          <w:ilvl w:val="0"/>
          <w:numId w:val="3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фізична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особа, </w:t>
      </w:r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тому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числі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фізична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особа-підприємець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;</w:t>
      </w:r>
    </w:p>
    <w:p w:rsidR="0011479C" w:rsidRPr="002C0164" w:rsidRDefault="0011479C" w:rsidP="0011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Вс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суб’єкти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повинні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провадити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освітню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діяльність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у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сфері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педагогічних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та/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або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науково-педагогічних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працівників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.</w:t>
      </w:r>
    </w:p>
    <w:p w:rsidR="0011479C" w:rsidRPr="002C0164" w:rsidRDefault="0011479C" w:rsidP="0011479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Де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можна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ідвищувати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кваліфікацію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педагогам?</w:t>
      </w:r>
    </w:p>
    <w:p w:rsidR="0011479C" w:rsidRPr="002C0164" w:rsidRDefault="0011479C" w:rsidP="0011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Відповідно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до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частини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другої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статті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59 Закону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України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«Про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освіту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»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педагогічні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працівники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мають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право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ідвищувати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кваліфікацію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у:</w:t>
      </w:r>
    </w:p>
    <w:p w:rsidR="0011479C" w:rsidRPr="002C0164" w:rsidRDefault="0011479C" w:rsidP="0011479C">
      <w:pPr>
        <w:numPr>
          <w:ilvl w:val="0"/>
          <w:numId w:val="4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закладах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освіти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що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мають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ліцензію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на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або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провадять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освітню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діяльність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за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акредитованою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освітньою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програмою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;</w:t>
      </w:r>
    </w:p>
    <w:p w:rsidR="0011479C" w:rsidRPr="002C0164" w:rsidRDefault="0011479C" w:rsidP="0011479C">
      <w:pPr>
        <w:numPr>
          <w:ilvl w:val="0"/>
          <w:numId w:val="4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в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інших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суб’єктів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освітньої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діяльності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.</w:t>
      </w:r>
    </w:p>
    <w:p w:rsidR="0011479C" w:rsidRPr="002C0164" w:rsidRDefault="0011479C" w:rsidP="0011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Таким чином,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суб’єктом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фактично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може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бути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будь-яка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юридична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чи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фізична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особа,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що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провадить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освітню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діяльність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у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сфері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педагогічних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працівників</w:t>
      </w:r>
      <w:proofErr w:type="spellEnd"/>
    </w:p>
    <w:p w:rsidR="0011479C" w:rsidRPr="002C0164" w:rsidRDefault="0011479C" w:rsidP="0011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Важливо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!</w:t>
      </w:r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 При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цьому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не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вимагається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обов’язкове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проведення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ліцензування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такої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діяльності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чи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акредитації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освітніх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програм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чи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програм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(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пунктів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6 – 9 Порядку).</w:t>
      </w:r>
    </w:p>
    <w:p w:rsidR="0011479C" w:rsidRPr="002C0164" w:rsidRDefault="0011479C" w:rsidP="0011479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Що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мається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на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увазі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ід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освітньою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діяльністю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?</w:t>
      </w:r>
    </w:p>
    <w:p w:rsidR="0011479C" w:rsidRPr="002C0164" w:rsidRDefault="0011479C" w:rsidP="0011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Звертаємо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увагу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що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освітня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діяльність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визначається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як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діяльність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суб’єкта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освітньої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діяльності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(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фізичної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або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юридичної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особи (закладу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освіти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ідприємства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установи,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організації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)),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спрямована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на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організацію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забезпечення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та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реалізацію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освітнього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процесу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у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формальній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та/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або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неформальній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освіті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.</w:t>
      </w:r>
    </w:p>
    <w:p w:rsidR="0011479C" w:rsidRPr="002C0164" w:rsidRDefault="0011479C" w:rsidP="0011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може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забезпечувати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будь-яка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особа,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діяльність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якої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відповідає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визначеним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законодавством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вимогам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яка буде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обрана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педагогічними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працівниками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та внесена до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річного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плану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у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встановленому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порядку.</w:t>
      </w:r>
    </w:p>
    <w:p w:rsidR="0011479C" w:rsidRPr="002C0164" w:rsidRDefault="0011479C" w:rsidP="0011479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Визнання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результатів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</w:p>
    <w:p w:rsidR="0011479C" w:rsidRPr="002C0164" w:rsidRDefault="0011479C" w:rsidP="0011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Відповідно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до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пунктів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6, 24 та 26 Порядку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результати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у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суб’єктів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, 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що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мають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ліцензію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на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підвищення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або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провадять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освітню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діяльність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за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акредитованою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освітньою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програмою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не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потребують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окремого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визнання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чи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підтвердження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при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чому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незалежно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від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включення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чи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не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включення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такого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до плану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закладу.</w:t>
      </w:r>
    </w:p>
    <w:p w:rsidR="0011479C" w:rsidRPr="002C0164" w:rsidRDefault="0011479C" w:rsidP="0011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Результати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ідвищення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у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інших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суб'єктів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підвищення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визнаються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рішенням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педагогічної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ради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відповідного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</w:t>
      </w:r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lastRenderedPageBreak/>
        <w:t>закладу</w:t>
      </w:r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.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Окремі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види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діяльності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педагогічних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працівників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(участь у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програмах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академічної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мобільності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наукове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стажування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самоосвіта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здобуття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наукового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ступеня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вищої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освіти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можуть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бути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визнані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як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(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пункти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26 – 30 Порядку).</w:t>
      </w:r>
    </w:p>
    <w:p w:rsidR="0011479C" w:rsidRPr="002C0164" w:rsidRDefault="0011479C" w:rsidP="0011479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Як проходить процедура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визнання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результатів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?</w:t>
      </w:r>
    </w:p>
    <w:p w:rsidR="0011479C" w:rsidRPr="002C0164" w:rsidRDefault="0011479C" w:rsidP="0011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Зважаючи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на те,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що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керівник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закладу та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інші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педагогічні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працівники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першочергово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мають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бути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зацікавлені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в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належній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роботі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закладу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освіти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(установи) та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ідвищенні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якості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освіти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Порядок не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регламентує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внутрішніх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питань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а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саме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за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якими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критеріями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та процедурами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визнавати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результати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та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визнавати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як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окремі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види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діяльності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педагогічних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працівникі</w:t>
      </w:r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</w:t>
      </w:r>
      <w:proofErr w:type="spellEnd"/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.</w:t>
      </w:r>
    </w:p>
    <w:p w:rsidR="0011479C" w:rsidRPr="002C0164" w:rsidRDefault="0011479C" w:rsidP="0011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Процедура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зарахування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окремих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видів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діяльності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їх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результатів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та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обсяг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педагогічних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працівників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закладів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визначаються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педагогічними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радами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відповідних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закладів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.</w:t>
      </w:r>
    </w:p>
    <w:p w:rsidR="0011479C" w:rsidRPr="002C0164" w:rsidRDefault="0011479C" w:rsidP="0011479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Тривалість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</w:p>
    <w:p w:rsidR="0011479C" w:rsidRPr="002C0164" w:rsidRDefault="0011479C" w:rsidP="0011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Для педагога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загальної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середньої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професійної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(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професійно-технічної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)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осві</w:t>
      </w:r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ти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– не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менше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150 год./5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років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.</w:t>
      </w:r>
    </w:p>
    <w:p w:rsidR="0011479C" w:rsidRPr="002C0164" w:rsidRDefault="0011479C" w:rsidP="0011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Для педагога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дошкільної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позашкільної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та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фахової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передвищої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освіти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–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встановлюється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його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засновником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(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або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уповноваженим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ним органом),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але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не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може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бути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менше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120 год./5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рокі</w:t>
      </w:r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</w:t>
      </w:r>
      <w:proofErr w:type="spellEnd"/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.</w:t>
      </w:r>
    </w:p>
    <w:p w:rsidR="0011479C" w:rsidRPr="002C0164" w:rsidRDefault="0011479C" w:rsidP="0011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Для педагога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вищої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іслядипломної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освіти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– не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менше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6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кредитів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ЄКТС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протягом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5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років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.</w:t>
      </w:r>
    </w:p>
    <w:p w:rsidR="0011479C" w:rsidRPr="002C0164" w:rsidRDefault="0011479C" w:rsidP="0011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Обсяг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встановлюється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в годинах та/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або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кредитах ЄКТС за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накопичувальною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системою. Один кредит ЄКТС – 30 годин.</w:t>
      </w:r>
    </w:p>
    <w:p w:rsidR="0011479C" w:rsidRPr="002C0164" w:rsidRDefault="0011479C" w:rsidP="0011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Обсяг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програми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визначається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відповідно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до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її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фактичної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тривалості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в годинах без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урахування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самостійної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(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позааудиторної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)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роботи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або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в кредитах ЄКТС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з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урахуванням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самостійної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(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позааудиторної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)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роботи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.</w:t>
      </w:r>
    </w:p>
    <w:p w:rsidR="0011479C" w:rsidRPr="002C0164" w:rsidRDefault="0011479C" w:rsidP="0011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На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що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варто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звернути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увагу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ід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час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вибору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суб’єкта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підвищення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?</w:t>
      </w:r>
    </w:p>
    <w:p w:rsidR="0011479C" w:rsidRPr="002C0164" w:rsidRDefault="0011479C" w:rsidP="0011479C">
      <w:pPr>
        <w:numPr>
          <w:ilvl w:val="0"/>
          <w:numId w:val="5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softHyphen/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наявність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інформації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про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нього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у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Єдиному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державному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реє</w:t>
      </w:r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стр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юридичних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осіб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фізичних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осіб-підприємців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та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громадських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формувань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(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далі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ЄДР),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зокрема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шляхом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подання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безкоштовного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запиту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на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вебсайті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Міністерства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юстиції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України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;</w:t>
      </w:r>
    </w:p>
    <w:p w:rsidR="0011479C" w:rsidRPr="002C0164" w:rsidRDefault="0011479C" w:rsidP="0011479C">
      <w:pPr>
        <w:numPr>
          <w:ilvl w:val="0"/>
          <w:numId w:val="5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наявність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вебсайту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суб’єкта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оприлюднення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на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ньому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програм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їх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відповідність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вимогам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законодавства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зокрема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пункту 10 Порядку;</w:t>
      </w:r>
    </w:p>
    <w:p w:rsidR="0011479C" w:rsidRPr="002C0164" w:rsidRDefault="0011479C" w:rsidP="0011479C">
      <w:pPr>
        <w:numPr>
          <w:ilvl w:val="0"/>
          <w:numId w:val="5"/>
        </w:numPr>
        <w:shd w:val="clear" w:color="auto" w:fill="FFFFFF"/>
        <w:spacing w:after="60" w:line="240" w:lineRule="auto"/>
        <w:ind w:left="0" w:firstLine="0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наявність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зразка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документа про </w:t>
      </w:r>
      <w:proofErr w:type="spellStart"/>
      <w:proofErr w:type="gram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</w:t>
      </w:r>
      <w:proofErr w:type="gram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його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оприлюднення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суб’єктом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підвищення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кваліфікації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на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своєму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вебсайті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та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наявність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у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ньому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інформації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,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визначеної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пунктом 13 </w:t>
      </w:r>
      <w:proofErr w:type="spellStart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>згаданого</w:t>
      </w:r>
      <w:proofErr w:type="spellEnd"/>
      <w:r w:rsidRPr="002C0164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Порядку.</w:t>
      </w:r>
    </w:p>
    <w:p w:rsidR="0011479C" w:rsidRPr="0011479C" w:rsidRDefault="0011479C" w:rsidP="001147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1479C" w:rsidRPr="0011479C" w:rsidRDefault="0011479C" w:rsidP="0011479C">
      <w:pPr>
        <w:rPr>
          <w:rFonts w:ascii="Times New Roman" w:hAnsi="Times New Roman" w:cs="Times New Roman"/>
          <w:sz w:val="28"/>
          <w:szCs w:val="28"/>
        </w:rPr>
      </w:pPr>
    </w:p>
    <w:p w:rsidR="0011479C" w:rsidRPr="0011479C" w:rsidRDefault="0011479C" w:rsidP="0011479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1479C" w:rsidRPr="0011479C" w:rsidRDefault="0011479C" w:rsidP="0011479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1479C" w:rsidRPr="0011479C" w:rsidRDefault="0011479C" w:rsidP="0011479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1479C" w:rsidRPr="0011479C" w:rsidRDefault="0011479C" w:rsidP="0011479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1479C" w:rsidRPr="0011479C" w:rsidRDefault="0011479C" w:rsidP="0011479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1479C" w:rsidRPr="0011479C" w:rsidSect="00810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85CFA"/>
    <w:multiLevelType w:val="multilevel"/>
    <w:tmpl w:val="71A2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2A1AD7"/>
    <w:multiLevelType w:val="multilevel"/>
    <w:tmpl w:val="9D08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C5219D"/>
    <w:multiLevelType w:val="multilevel"/>
    <w:tmpl w:val="7C74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B737842"/>
    <w:multiLevelType w:val="multilevel"/>
    <w:tmpl w:val="C118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C71397"/>
    <w:multiLevelType w:val="multilevel"/>
    <w:tmpl w:val="5F4E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D934B1"/>
    <w:rsid w:val="0011479C"/>
    <w:rsid w:val="00410FE5"/>
    <w:rsid w:val="004C67CA"/>
    <w:rsid w:val="007B22DD"/>
    <w:rsid w:val="00810726"/>
    <w:rsid w:val="00831C26"/>
    <w:rsid w:val="00BA3853"/>
    <w:rsid w:val="00CC7836"/>
    <w:rsid w:val="00D9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26"/>
  </w:style>
  <w:style w:type="paragraph" w:styleId="1">
    <w:name w:val="heading 1"/>
    <w:basedOn w:val="a"/>
    <w:link w:val="10"/>
    <w:uiPriority w:val="9"/>
    <w:qFormat/>
    <w:rsid w:val="00D934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4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9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934B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47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2020-02-26T08:17:00Z</dcterms:created>
  <dcterms:modified xsi:type="dcterms:W3CDTF">2020-02-26T11:27:00Z</dcterms:modified>
</cp:coreProperties>
</file>